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eastAsiaTheme="minorEastAsia" w:cstheme="majorBidi"/>
          <w:color w:val="595959" w:themeColor="text1" w:themeTint="A6"/>
          <w:kern w:val="28"/>
          <w:sz w:val="72"/>
          <w:szCs w:val="72"/>
          <w:lang w:eastAsia="ja-JP"/>
        </w:rPr>
        <w:alias w:val="Agenda:"/>
        <w:tag w:val=""/>
        <w:id w:val="31158712"/>
        <w:placeholder>
          <w:docPart w:val="23F62BB3902E4EC08EC3291A28D1F4B0"/>
        </w:placeholder>
        <w:dataBinding w:prefixMappings="xmlns:ns0='http://schemas.openxmlformats.org/officeDocument/2006/extended-properties' " w:xpath="/ns0:Properties[1]/ns0:Company[1]" w:storeItemID="{6668398D-A668-4E3E-A5EB-62B293D839F1}"/>
        <w15:appearance w15:val="hidden"/>
        <w:text w:multiLine="1"/>
      </w:sdtPr>
      <w:sdtEndPr/>
      <w:sdtContent>
        <w:p w:rsidR="00BC3EA9" w:rsidRPr="00BC3EA9" w:rsidRDefault="004B74AD" w:rsidP="00BC3EA9">
          <w:pPr>
            <w:spacing w:after="1260" w:line="240" w:lineRule="auto"/>
            <w:ind w:left="-86"/>
            <w:contextualSpacing/>
            <w:rPr>
              <w:rFonts w:eastAsiaTheme="minorEastAsia" w:cstheme="majorBidi"/>
              <w:color w:val="595959" w:themeColor="text1" w:themeTint="A6"/>
              <w:kern w:val="28"/>
              <w:sz w:val="72"/>
              <w:szCs w:val="72"/>
              <w:lang w:eastAsia="ja-JP"/>
            </w:rPr>
          </w:pPr>
          <w:r>
            <w:rPr>
              <w:rFonts w:eastAsiaTheme="minorEastAsia" w:cstheme="majorBidi"/>
              <w:color w:val="595959" w:themeColor="text1" w:themeTint="A6"/>
              <w:kern w:val="28"/>
              <w:sz w:val="72"/>
              <w:szCs w:val="72"/>
              <w:lang w:eastAsia="ja-JP"/>
            </w:rPr>
            <w:br/>
          </w:r>
          <w:r>
            <w:rPr>
              <w:rFonts w:eastAsiaTheme="minorEastAsia" w:cstheme="majorBidi"/>
              <w:color w:val="595959" w:themeColor="text1" w:themeTint="A6"/>
              <w:kern w:val="28"/>
              <w:sz w:val="72"/>
              <w:szCs w:val="72"/>
              <w:lang w:eastAsia="ja-JP"/>
            </w:rPr>
            <w:br/>
            <w:t>Agenda</w:t>
          </w:r>
        </w:p>
      </w:sdtContent>
    </w:sdt>
    <w:p w:rsidR="00BC3EA9" w:rsidRDefault="00BC3EA9" w:rsidP="00BC3EA9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C3EA9" w:rsidRDefault="00BC3EA9" w:rsidP="00BC3EA9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BC3EA9" w:rsidRPr="00BC3EA9" w:rsidRDefault="00BC3EA9" w:rsidP="00BC3EA9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C3EA9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C3EA9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BC3EA9" w:rsidRPr="00BC3EA9" w:rsidRDefault="00BC3EA9" w:rsidP="00BC3EA9">
      <w:pPr>
        <w:spacing w:after="300" w:line="240" w:lineRule="auto"/>
        <w:contextualSpacing/>
        <w:rPr>
          <w:sz w:val="30"/>
          <w:szCs w:val="30"/>
        </w:rPr>
      </w:pPr>
      <w:r w:rsidRPr="00BC3EA9">
        <w:rPr>
          <w:sz w:val="30"/>
          <w:szCs w:val="30"/>
        </w:rPr>
        <w:t>Regular Session</w:t>
      </w:r>
    </w:p>
    <w:p w:rsidR="00BC3EA9" w:rsidRPr="00BC3EA9" w:rsidRDefault="004208DB" w:rsidP="00BC3EA9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 xml:space="preserve">August </w:t>
      </w:r>
      <w:r w:rsidR="003E39C5">
        <w:rPr>
          <w:sz w:val="30"/>
          <w:szCs w:val="30"/>
        </w:rPr>
        <w:t>22</w:t>
      </w:r>
      <w:r w:rsidR="00BC3EA9" w:rsidRPr="00BC3EA9">
        <w:rPr>
          <w:sz w:val="30"/>
          <w:szCs w:val="30"/>
        </w:rPr>
        <w:t>, 2019 – 10:00 am</w:t>
      </w:r>
    </w:p>
    <w:p w:rsidR="00BC3EA9" w:rsidRPr="00BC3EA9" w:rsidRDefault="00BC3EA9" w:rsidP="00BC3EA9">
      <w:pPr>
        <w:spacing w:after="300" w:line="240" w:lineRule="auto"/>
        <w:contextualSpacing/>
        <w:rPr>
          <w:sz w:val="30"/>
          <w:szCs w:val="30"/>
        </w:rPr>
      </w:pPr>
      <w:r w:rsidRPr="00BC3EA9">
        <w:rPr>
          <w:sz w:val="30"/>
          <w:szCs w:val="30"/>
        </w:rPr>
        <w:t>Commissioner’s Room</w:t>
      </w:r>
    </w:p>
    <w:p w:rsidR="00BC3EA9" w:rsidRPr="00BC3EA9" w:rsidRDefault="00BC3EA9" w:rsidP="00BC3EA9">
      <w:pPr>
        <w:spacing w:after="300" w:line="240" w:lineRule="auto"/>
        <w:contextualSpacing/>
      </w:pPr>
    </w:p>
    <w:p w:rsidR="00BC3EA9" w:rsidRPr="00BC3EA9" w:rsidRDefault="00BC3EA9" w:rsidP="00BC3EA9">
      <w:pPr>
        <w:spacing w:after="300" w:line="240" w:lineRule="auto"/>
        <w:contextualSpacing/>
      </w:pPr>
    </w:p>
    <w:tbl>
      <w:tblPr>
        <w:tblStyle w:val="TableGridLight"/>
        <w:tblW w:w="5423" w:type="pct"/>
        <w:tblInd w:w="-45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57"/>
        <w:gridCol w:w="8103"/>
      </w:tblGrid>
      <w:tr w:rsidR="00BC3EA9" w:rsidRPr="00BC3EA9" w:rsidTr="00BC3EA9">
        <w:trPr>
          <w:trHeight w:val="355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10:00 am</w:t>
            </w:r>
          </w:p>
        </w:tc>
        <w:tc>
          <w:tcPr>
            <w:tcW w:w="8103" w:type="dxa"/>
          </w:tcPr>
          <w:p w:rsidR="00BC3EA9" w:rsidRPr="00BC3EA9" w:rsidRDefault="00BC3EA9" w:rsidP="00A85A5C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 w:rsidRPr="00BC3EA9">
              <w:rPr>
                <w:rFonts w:cstheme="majorBidi"/>
                <w:sz w:val="26"/>
                <w:szCs w:val="26"/>
              </w:rPr>
              <w:t xml:space="preserve">Agenda, Minutes, Bills, </w:t>
            </w:r>
            <w:r w:rsidR="00A85A5C">
              <w:rPr>
                <w:sz w:val="26"/>
                <w:szCs w:val="26"/>
              </w:rPr>
              <w:t xml:space="preserve">Danielle Rolston – Auditor – 2019 Budget </w:t>
            </w:r>
            <w:r w:rsidR="00A85A5C">
              <w:rPr>
                <w:sz w:val="26"/>
                <w:szCs w:val="26"/>
              </w:rPr>
              <w:t>Balances &amp; 2019 Budget Transfers</w:t>
            </w:r>
            <w:bookmarkStart w:id="0" w:name="_GoBack"/>
            <w:bookmarkEnd w:id="0"/>
          </w:p>
        </w:tc>
      </w:tr>
      <w:tr w:rsidR="00BC3EA9" w:rsidRPr="00BC3EA9" w:rsidTr="00BC3EA9">
        <w:trPr>
          <w:trHeight w:val="355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10:15 am</w:t>
            </w:r>
          </w:p>
        </w:tc>
        <w:tc>
          <w:tcPr>
            <w:tcW w:w="8103" w:type="dxa"/>
          </w:tcPr>
          <w:p w:rsidR="00BC3EA9" w:rsidRPr="00BC3EA9" w:rsidRDefault="00BC3EA9" w:rsidP="00BC3EA9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 w:rsidRPr="00BC3EA9">
              <w:rPr>
                <w:rFonts w:cstheme="majorBidi"/>
                <w:sz w:val="26"/>
                <w:szCs w:val="26"/>
              </w:rPr>
              <w:t>Public Comment</w:t>
            </w:r>
          </w:p>
        </w:tc>
      </w:tr>
      <w:tr w:rsidR="00BC3EA9" w:rsidRPr="00BC3EA9" w:rsidTr="00BC3EA9">
        <w:trPr>
          <w:trHeight w:val="205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10:30 am</w:t>
            </w:r>
          </w:p>
        </w:tc>
        <w:tc>
          <w:tcPr>
            <w:tcW w:w="8103" w:type="dxa"/>
          </w:tcPr>
          <w:p w:rsidR="00BC3EA9" w:rsidRPr="00BC3EA9" w:rsidRDefault="00956FB1" w:rsidP="00A85A5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Brenda Plooster &amp; Kell</w:t>
            </w:r>
            <w:r w:rsidR="00A85A5C">
              <w:rPr>
                <w:sz w:val="26"/>
                <w:szCs w:val="26"/>
              </w:rPr>
              <w:t>y Cimpl – Public Health Nurses</w:t>
            </w:r>
          </w:p>
        </w:tc>
      </w:tr>
      <w:tr w:rsidR="00BC3EA9" w:rsidRPr="00BC3EA9" w:rsidTr="00BC3EA9">
        <w:trPr>
          <w:trHeight w:val="358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10:45 am</w:t>
            </w:r>
          </w:p>
        </w:tc>
        <w:tc>
          <w:tcPr>
            <w:tcW w:w="8103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 xml:space="preserve">Doug Kniffen </w:t>
            </w:r>
            <w:r w:rsidR="003D3DAA">
              <w:rPr>
                <w:sz w:val="26"/>
                <w:szCs w:val="26"/>
              </w:rPr>
              <w:t>–</w:t>
            </w:r>
            <w:r w:rsidRPr="00BC3EA9">
              <w:rPr>
                <w:sz w:val="26"/>
                <w:szCs w:val="26"/>
              </w:rPr>
              <w:t xml:space="preserve"> Highway</w:t>
            </w:r>
            <w:r w:rsidR="00A85A5C">
              <w:rPr>
                <w:sz w:val="26"/>
                <w:szCs w:val="26"/>
              </w:rPr>
              <w:t xml:space="preserve"> Superintendent</w:t>
            </w:r>
            <w:r w:rsidR="003D3DAA">
              <w:rPr>
                <w:sz w:val="26"/>
                <w:szCs w:val="26"/>
              </w:rPr>
              <w:t xml:space="preserve"> </w:t>
            </w:r>
            <w:r w:rsidR="00A85A5C">
              <w:rPr>
                <w:sz w:val="26"/>
                <w:szCs w:val="26"/>
              </w:rPr>
              <w:t xml:space="preserve">2019 &amp; </w:t>
            </w:r>
            <w:r w:rsidR="003D3DAA">
              <w:rPr>
                <w:sz w:val="26"/>
                <w:szCs w:val="26"/>
              </w:rPr>
              <w:t>2020 Budget Discussion</w:t>
            </w:r>
          </w:p>
        </w:tc>
      </w:tr>
      <w:tr w:rsidR="00BC3EA9" w:rsidRPr="00BC3EA9" w:rsidTr="00A85A5C">
        <w:trPr>
          <w:trHeight w:val="440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11:00 am</w:t>
            </w:r>
          </w:p>
        </w:tc>
        <w:tc>
          <w:tcPr>
            <w:tcW w:w="8103" w:type="dxa"/>
          </w:tcPr>
          <w:p w:rsidR="00BC3EA9" w:rsidRPr="00BC3EA9" w:rsidRDefault="00483167" w:rsidP="00BC3EA9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Mike Kotab – EDS </w:t>
            </w:r>
            <w:r w:rsidR="00F803C4">
              <w:rPr>
                <w:sz w:val="26"/>
                <w:szCs w:val="26"/>
              </w:rPr>
              <w:t>Manager – Flooding Update &amp; SLA Agreement</w:t>
            </w:r>
          </w:p>
        </w:tc>
      </w:tr>
      <w:tr w:rsidR="00BC3EA9" w:rsidRPr="00BC3EA9" w:rsidTr="00BC3EA9">
        <w:trPr>
          <w:trHeight w:val="358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  <w:r w:rsidRPr="00BC3EA9">
              <w:rPr>
                <w:sz w:val="26"/>
                <w:szCs w:val="26"/>
              </w:rPr>
              <w:t>11:30 am</w:t>
            </w:r>
          </w:p>
        </w:tc>
        <w:tc>
          <w:tcPr>
            <w:tcW w:w="8103" w:type="dxa"/>
          </w:tcPr>
          <w:p w:rsidR="00BC3EA9" w:rsidRPr="00BC3EA9" w:rsidRDefault="003D3DAA" w:rsidP="00BC3EA9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 Cotton – States Attorney – Personnel &amp; Contracts</w:t>
            </w:r>
          </w:p>
        </w:tc>
      </w:tr>
      <w:tr w:rsidR="00BC3EA9" w:rsidRPr="00BC3EA9" w:rsidTr="00BC3EA9">
        <w:trPr>
          <w:trHeight w:val="358"/>
        </w:trPr>
        <w:tc>
          <w:tcPr>
            <w:tcW w:w="1257" w:type="dxa"/>
          </w:tcPr>
          <w:p w:rsidR="00BC3EA9" w:rsidRPr="00BC3EA9" w:rsidRDefault="00937116" w:rsidP="00BC3EA9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 pm</w:t>
            </w:r>
          </w:p>
        </w:tc>
        <w:tc>
          <w:tcPr>
            <w:tcW w:w="8103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</w:p>
        </w:tc>
      </w:tr>
      <w:tr w:rsidR="00BC3EA9" w:rsidRPr="00BC3EA9" w:rsidTr="00BC3EA9">
        <w:trPr>
          <w:trHeight w:val="375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103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</w:p>
        </w:tc>
      </w:tr>
      <w:tr w:rsidR="00BC3EA9" w:rsidRPr="00BC3EA9" w:rsidTr="00BC3EA9">
        <w:trPr>
          <w:trHeight w:val="358"/>
        </w:trPr>
        <w:tc>
          <w:tcPr>
            <w:tcW w:w="1257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8103" w:type="dxa"/>
          </w:tcPr>
          <w:p w:rsidR="00BC3EA9" w:rsidRPr="00BC3EA9" w:rsidRDefault="00BC3EA9" w:rsidP="00BC3EA9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BC3EA9" w:rsidRPr="00BC3EA9" w:rsidRDefault="00BC3EA9" w:rsidP="00BC3EA9">
      <w:pPr>
        <w:keepNext/>
        <w:keepLines/>
        <w:spacing w:before="320" w:after="80" w:line="240" w:lineRule="auto"/>
        <w:contextualSpacing/>
        <w:outlineLvl w:val="1"/>
        <w:rPr>
          <w:rFonts w:eastAsiaTheme="minorEastAsia" w:cstheme="majorBidi"/>
          <w:b/>
          <w:szCs w:val="26"/>
          <w:lang w:eastAsia="ja-JP"/>
        </w:rPr>
      </w:pPr>
    </w:p>
    <w:p w:rsidR="00BC3EA9" w:rsidRPr="00BC3EA9" w:rsidRDefault="00BC3EA9" w:rsidP="00BC3EA9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BC3EA9" w:rsidRPr="00BC3EA9" w:rsidRDefault="00BC3EA9" w:rsidP="00BC3EA9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C3EA9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BC3EA9" w:rsidRPr="00BC3EA9" w:rsidRDefault="00BC3EA9" w:rsidP="00BC3EA9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BC3EA9" w:rsidRPr="00BC3EA9" w:rsidRDefault="00BC3EA9" w:rsidP="00BC3EA9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C3EA9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BC3EA9" w:rsidRPr="00BC3EA9" w:rsidRDefault="00BC3EA9" w:rsidP="00BC3EA9">
      <w:pPr>
        <w:spacing w:after="80" w:line="240" w:lineRule="auto"/>
        <w:rPr>
          <w:rFonts w:eastAsiaTheme="minorEastAsia"/>
          <w:lang w:eastAsia="ja-JP"/>
        </w:rPr>
      </w:pPr>
    </w:p>
    <w:p w:rsidR="00BC3EA9" w:rsidRPr="00BC3EA9" w:rsidRDefault="00BC3EA9" w:rsidP="00BC3EA9">
      <w:pPr>
        <w:spacing w:after="80" w:line="240" w:lineRule="auto"/>
        <w:rPr>
          <w:rFonts w:eastAsiaTheme="minorEastAsia"/>
          <w:lang w:eastAsia="ja-JP"/>
        </w:rPr>
      </w:pPr>
    </w:p>
    <w:p w:rsidR="00BC3EA9" w:rsidRPr="00BC3EA9" w:rsidRDefault="00BC3EA9" w:rsidP="00BC3EA9">
      <w:pPr>
        <w:spacing w:after="80" w:line="240" w:lineRule="auto"/>
        <w:rPr>
          <w:rFonts w:eastAsiaTheme="minorEastAsia"/>
          <w:lang w:eastAsia="ja-JP"/>
        </w:rPr>
      </w:pPr>
    </w:p>
    <w:p w:rsidR="007A53AE" w:rsidRDefault="007A53AE"/>
    <w:sectPr w:rsidR="007A53AE">
      <w:headerReference w:type="default" r:id="rId6"/>
      <w:footerReference w:type="default" r:id="rId7"/>
      <w:pgSz w:w="12240" w:h="15840"/>
      <w:pgMar w:top="72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3B3" w:rsidRDefault="004208DB">
      <w:pPr>
        <w:spacing w:after="0" w:line="240" w:lineRule="auto"/>
      </w:pPr>
      <w:r>
        <w:separator/>
      </w:r>
    </w:p>
  </w:endnote>
  <w:endnote w:type="continuationSeparator" w:id="0">
    <w:p w:rsidR="003F43B3" w:rsidRDefault="004208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521696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40F09" w:rsidRDefault="006E29F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A5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3B3" w:rsidRDefault="004208DB">
      <w:pPr>
        <w:spacing w:after="0" w:line="240" w:lineRule="auto"/>
      </w:pPr>
      <w:r>
        <w:separator/>
      </w:r>
    </w:p>
  </w:footnote>
  <w:footnote w:type="continuationSeparator" w:id="0">
    <w:p w:rsidR="003F43B3" w:rsidRDefault="004208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Agenda:"/>
      <w:tag w:val="Agenda:"/>
      <w:id w:val="-42448758"/>
      <w:dataBinding w:prefixMappings="xmlns:ns0='http://schemas.openxmlformats.org/officeDocument/2006/extended-properties' " w:xpath="/ns0:Properties[1]/ns0:Company[1]" w:storeItemID="{6668398D-A668-4E3E-A5EB-62B293D839F1}"/>
      <w15:appearance w15:val="hidden"/>
      <w:text w:multiLine="1"/>
    </w:sdtPr>
    <w:sdtEndPr/>
    <w:sdtContent>
      <w:p w:rsidR="00A40F09" w:rsidRDefault="004B74AD">
        <w:pPr>
          <w:pStyle w:val="Title"/>
        </w:pPr>
        <w:r>
          <w:br/>
        </w:r>
        <w:r>
          <w:br/>
          <w:t>Agenda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EA9"/>
    <w:rsid w:val="00175489"/>
    <w:rsid w:val="003D3DAA"/>
    <w:rsid w:val="003E39C5"/>
    <w:rsid w:val="003F43B3"/>
    <w:rsid w:val="004208DB"/>
    <w:rsid w:val="00483167"/>
    <w:rsid w:val="004B74AD"/>
    <w:rsid w:val="006E29FE"/>
    <w:rsid w:val="007A53AE"/>
    <w:rsid w:val="00852090"/>
    <w:rsid w:val="00937116"/>
    <w:rsid w:val="00956FB1"/>
    <w:rsid w:val="00973F95"/>
    <w:rsid w:val="00A85A5C"/>
    <w:rsid w:val="00BC3EA9"/>
    <w:rsid w:val="00C41B1A"/>
    <w:rsid w:val="00F80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182FB1-3637-4C5E-968F-BCD513B7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BC3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3EA9"/>
  </w:style>
  <w:style w:type="paragraph" w:styleId="Title">
    <w:name w:val="Title"/>
    <w:basedOn w:val="Normal"/>
    <w:next w:val="Normal"/>
    <w:link w:val="TitleChar"/>
    <w:uiPriority w:val="10"/>
    <w:qFormat/>
    <w:rsid w:val="00BC3E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C3E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Light">
    <w:name w:val="Grid Table Light"/>
    <w:basedOn w:val="TableNormal"/>
    <w:uiPriority w:val="40"/>
    <w:rsid w:val="00BC3EA9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F62BB3902E4EC08EC3291A28D1F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87C1E-5896-42CF-99F6-DA7EA518CAB1}"/>
      </w:docPartPr>
      <w:docPartBody>
        <w:p w:rsidR="000152D2" w:rsidRDefault="00D840D3" w:rsidP="00D840D3">
          <w:pPr>
            <w:pStyle w:val="23F62BB3902E4EC08EC3291A28D1F4B0"/>
          </w:pPr>
          <w:r w:rsidRPr="009770B3">
            <w:t>agenda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D3"/>
    <w:rsid w:val="000152D2"/>
    <w:rsid w:val="00D8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F62BB3902E4EC08EC3291A28D1F4B0">
    <w:name w:val="23F62BB3902E4EC08EC3291A28D1F4B0"/>
    <w:rsid w:val="00D840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
Agenda</Company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17</cp:revision>
  <cp:lastPrinted>2019-08-21T12:52:00Z</cp:lastPrinted>
  <dcterms:created xsi:type="dcterms:W3CDTF">2019-07-18T17:40:00Z</dcterms:created>
  <dcterms:modified xsi:type="dcterms:W3CDTF">2019-08-21T12:58:00Z</dcterms:modified>
</cp:coreProperties>
</file>